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7DB" w:rsidRDefault="006A17DB" w:rsidP="006A17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лекция №</w:t>
      </w:r>
      <w:r w:rsidR="00251E85">
        <w:rPr>
          <w:rFonts w:ascii="Times New Roman" w:eastAsia="TimesNewRomanPS-BoldMT" w:hAnsi="Times New Roman" w:cs="Times New Roman"/>
          <w:b/>
          <w:bCs/>
          <w:sz w:val="24"/>
          <w:szCs w:val="24"/>
        </w:rPr>
        <w:t>7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6A17DB" w:rsidRPr="006A17DB" w:rsidRDefault="00251E85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7</w:t>
      </w:r>
      <w:r w:rsidR="006A17DB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. </w:t>
      </w:r>
      <w:r w:rsidR="006A17DB" w:rsidRPr="006A17DB">
        <w:rPr>
          <w:rFonts w:ascii="Times New Roman" w:eastAsia="TimesNewRomanPS-BoldMT" w:hAnsi="Times New Roman" w:cs="Times New Roman"/>
          <w:b/>
          <w:bCs/>
          <w:sz w:val="24"/>
          <w:szCs w:val="24"/>
        </w:rPr>
        <w:t>АСФАЛЬТОБЕТОННЫЕ ЗАВОДЫ</w:t>
      </w:r>
      <w:r w:rsidR="006A17DB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(АБЗ)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6A17DB" w:rsidRDefault="00251E85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7</w:t>
      </w:r>
      <w:r w:rsidR="006A17DB" w:rsidRPr="006A17DB">
        <w:rPr>
          <w:rFonts w:ascii="Times New Roman" w:eastAsia="TimesNewRomanPS-BoldMT" w:hAnsi="Times New Roman" w:cs="Times New Roman"/>
          <w:b/>
          <w:bCs/>
          <w:sz w:val="24"/>
          <w:szCs w:val="24"/>
        </w:rPr>
        <w:t>.1. Классификация асфальтобетонных заводов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6A17DB" w:rsidRP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b/>
          <w:i/>
          <w:sz w:val="24"/>
          <w:szCs w:val="24"/>
        </w:rPr>
        <w:t>Асфальтобетонный завод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6A17DB">
        <w:rPr>
          <w:rFonts w:ascii="Times New Roman" w:eastAsia="TimesNewRomanPSMT" w:hAnsi="Times New Roman" w:cs="Times New Roman"/>
          <w:b/>
          <w:sz w:val="24"/>
          <w:szCs w:val="24"/>
        </w:rPr>
        <w:t>АБЗ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) – смонтированный комплекс технологического, энергетического и вспомогательного оборудования, предназначенного для выполнения операций по приготовлению асфальтобетонных смесей.</w:t>
      </w:r>
    </w:p>
    <w:p w:rsidR="006A17DB" w:rsidRP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 xml:space="preserve">Асфальтобетонные заводы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являются основными производственными предприятиями дорожного хозяйства и предназначены не только для приготовления различных асфальтобетонных смесей (</w:t>
      </w:r>
      <w:r w:rsidRPr="006A17DB">
        <w:rPr>
          <w:rFonts w:ascii="Times New Roman" w:eastAsia="TimesNewRomanPSMT" w:hAnsi="Times New Roman" w:cs="Times New Roman"/>
          <w:b/>
          <w:sz w:val="24"/>
          <w:szCs w:val="24"/>
        </w:rPr>
        <w:t>горячий, холодный, литой и т.д.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) для строительства, реконструкции и ремонта асфальтобетонных покрытий, но и для приготовления других минеральных смесей, обработанных битумом (черного щебня и т.д.).</w:t>
      </w:r>
    </w:p>
    <w:p w:rsidR="00A02D56" w:rsidRDefault="00A02D56" w:rsidP="00A02D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02D56" w:rsidRPr="00A02D56" w:rsidRDefault="00A02D56" w:rsidP="00A02D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(1 слайд)</w:t>
      </w:r>
    </w:p>
    <w:p w:rsidR="006A17DB" w:rsidRDefault="006A17DB" w:rsidP="006A17D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Перечень выполняемых на АБЗ технологических и обеспечивающих операций включает: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(комплекс операций) по приготовлению смесей, включая предварительное дозирование минеральных материалов, нагрев и сушку минеральных материалов, сортировку (грохочение) и кратковременное хранение нагретых каменных материалов, точное дозирование минеральных материалов, битума или другого специального вяжущего, минерального порошка и добавок, смешение составляющих в мешалке и выгрузка из мешалки готовой (товарной) асфальтобетонной смеси;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приему, хранению и подаче в бункеры по фракциям каменных материалов, а при необходимости получение на АБЗ необходимых по крупности фракций щебня и песка путем дробления и сортировки более крупных фракций щебня;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приему, хранению, нагреву и подаче в дозаторы битума;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приему, хранению и подаче в дозатор минерального порошка (заполнителя);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приему, хранению, нагреву и подаче в дозатор поверхностно-активных веществ (ПАВ);</w:t>
      </w:r>
    </w:p>
    <w:p w:rsidR="006A17DB" w:rsidRPr="006A17DB" w:rsidRDefault="006A17DB" w:rsidP="006A17D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технологические операции по складированию, кратковременному хранению и отгрузке готовой асфальтобетонной смеси.</w:t>
      </w:r>
    </w:p>
    <w:p w:rsidR="006A17DB" w:rsidRPr="00A02D56" w:rsidRDefault="00A02D56" w:rsidP="006A17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(2 слайд)</w:t>
      </w:r>
    </w:p>
    <w:p w:rsidR="006A17DB" w:rsidRPr="006A17DB" w:rsidRDefault="006A17DB" w:rsidP="006A17D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A17DB">
        <w:rPr>
          <w:rFonts w:ascii="Times New Roman" w:eastAsia="TimesNewRomanPSMT" w:hAnsi="Times New Roman" w:cs="Times New Roman"/>
          <w:sz w:val="24"/>
          <w:szCs w:val="24"/>
        </w:rPr>
        <w:t>Для выполнения всего комплекса технологических операций в состав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17DB">
        <w:rPr>
          <w:rFonts w:ascii="Times New Roman" w:eastAsia="TimesNewRomanPSMT" w:hAnsi="Times New Roman" w:cs="Times New Roman"/>
          <w:sz w:val="24"/>
          <w:szCs w:val="24"/>
        </w:rPr>
        <w:t>АБЗ входит следующее технологическое оборудование: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асфальтосмесительные установки;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приемные устройства для каменных материалов, площадки для их</w:t>
      </w:r>
      <w:r w:rsidR="008D440D"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хранения и машины для их подачи в бункеры асфальтосмесительных установок;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приемные устройства для битума, хранилища (емкости) для битума,</w:t>
      </w:r>
      <w:r w:rsidR="008D440D"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битумонагревательное оборудование, битумные насосы;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приемные устройства и площадки для бочек с ПАВ или емкости для</w:t>
      </w:r>
      <w:r w:rsidR="008D440D"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ПАВ, нагреватели для ПАВ и насосы для их подачи к смесителю;</w:t>
      </w:r>
    </w:p>
    <w:p w:rsidR="006A17DB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приемные устройства и емкости для хранения минерального порошка и насосы (пневмосистемы) для подачи его к смесителю;</w:t>
      </w:r>
    </w:p>
    <w:p w:rsidR="004B4452" w:rsidRPr="008D440D" w:rsidRDefault="006A17DB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загрузочное устройство (скип или элеватор) готовой смеси, бункеры</w:t>
      </w:r>
      <w:r w:rsidR="008D440D"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накопители готовой смеси;</w:t>
      </w:r>
    </w:p>
    <w:p w:rsidR="008D440D" w:rsidRPr="008D440D" w:rsidRDefault="008D440D" w:rsidP="008D440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lastRenderedPageBreak/>
        <w:t>дробильно-сортировочное оборудование для получения требуемых фракций щебня и песка.</w:t>
      </w:r>
    </w:p>
    <w:p w:rsidR="008D440D" w:rsidRPr="00A02D56" w:rsidRDefault="00A02D56" w:rsidP="008D4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(3 слайд)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Помимо основного технологического оборудования в состав АБЗ могут входить: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оборудование для приготовления и хранения битумных эмульсий;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хранилища топлива (газа, дизтоплива или мазута);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постройки административно-бытового назначения;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объекты электроэнергетического обеспечения;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котельные;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компрессорные станции;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водопроводное хозяйство;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сети электро-, тепло- и водоснабжения;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лаборатория;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ремонтная мастерская;</w:t>
      </w:r>
    </w:p>
    <w:p w:rsidR="008D440D" w:rsidRPr="008D440D" w:rsidRDefault="008D440D" w:rsidP="008D440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материально-технический склад.</w:t>
      </w:r>
    </w:p>
    <w:p w:rsidR="008D440D" w:rsidRPr="00251E85" w:rsidRDefault="00A02D56" w:rsidP="008D440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(4 слайд)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Асфальтобетонные заводы различают:</w:t>
      </w:r>
    </w:p>
    <w:p w:rsid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• по типу размещения: </w:t>
      </w:r>
    </w:p>
    <w:p w:rsidR="008D440D" w:rsidRDefault="008D440D" w:rsidP="008D440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прирельсовые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8D440D" w:rsidRPr="008D440D" w:rsidRDefault="008D440D" w:rsidP="008D440D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притрассовые (приобъектные);</w:t>
      </w:r>
    </w:p>
    <w:p w:rsid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• длительности работы на одном месте:</w:t>
      </w:r>
    </w:p>
    <w:p w:rsidR="008D440D" w:rsidRDefault="008D440D" w:rsidP="008D440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стационарные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D440D" w:rsidRDefault="008D440D" w:rsidP="008D440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инвентарные (перебазируемые)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D440D" w:rsidRPr="008D440D" w:rsidRDefault="008D440D" w:rsidP="008D440D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передвижные (часто перебазируемые);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• мощности асфальтосмесительных установок;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• количеству и суммарной производительности асфальтосмесительных установок.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Прирельсовые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 непосредственно у железнодорожной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ветки, по которой поступают все или большинство исходных материалов: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щебень, песок, битум, минеральный порошок, ПАВ и топливо.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Притрассовые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 непосредственно вблизи от строящейся автомобильной дороги с целью сокращения дальности и времени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транспортирования готовой асфальтобетонной смеси. Все исходные материалы и топливо доставляют автомобильным транспортом с прирельсовых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базисных складов или непосредственно с предприятий, их производящих: с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карьеров каменных материалов и песка, заводов по производству битума 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минерального порошка.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Стационарные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сооружают, как правило, неразборными и рассчитывают на эксплуатацию на одном месте до 10 лет и более.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Инвентарные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 разборными и рассчитывают на эксплуатацию на одном месте в течение 2–4 лет.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Передвижные АБЗ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сооружают разборными и рассчитывают на эксплуатацию на одном месте до 1 года.</w:t>
      </w:r>
    </w:p>
    <w:p w:rsidR="008D440D" w:rsidRPr="008D440D" w:rsidRDefault="008D440D" w:rsidP="008D440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0A06">
        <w:rPr>
          <w:rFonts w:ascii="Times New Roman" w:eastAsia="TimesNewRomanPSMT" w:hAnsi="Times New Roman" w:cs="Times New Roman"/>
          <w:b/>
          <w:i/>
          <w:sz w:val="24"/>
          <w:szCs w:val="24"/>
        </w:rPr>
        <w:t>По мощности асфальтосмесительных установок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АБЗ подразделяются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на следующие типы:</w:t>
      </w:r>
    </w:p>
    <w:p w:rsidR="008D440D" w:rsidRPr="008D440D" w:rsidRDefault="008D440D" w:rsidP="008D440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малой производительности – до 25 т/ч;</w:t>
      </w:r>
    </w:p>
    <w:p w:rsidR="008D440D" w:rsidRPr="008D440D" w:rsidRDefault="008D440D" w:rsidP="008D440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средней производительности – 25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–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50 т/ч;</w:t>
      </w:r>
    </w:p>
    <w:p w:rsidR="008D440D" w:rsidRPr="008D440D" w:rsidRDefault="008D440D" w:rsidP="008D440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большой производительности – 50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–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100 т/ч;</w:t>
      </w:r>
    </w:p>
    <w:p w:rsidR="008D440D" w:rsidRPr="008D440D" w:rsidRDefault="008D440D" w:rsidP="008D440D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сверхмощные – 200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–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700 т/ч.</w:t>
      </w:r>
    </w:p>
    <w:p w:rsid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0A06">
        <w:rPr>
          <w:rFonts w:ascii="Times New Roman" w:eastAsia="TimesNewRomanPSMT" w:hAnsi="Times New Roman" w:cs="Times New Roman"/>
          <w:b/>
          <w:i/>
          <w:sz w:val="24"/>
          <w:szCs w:val="24"/>
        </w:rPr>
        <w:t>По количеству смесительных установок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на АБЗ – от 1 до 6.</w:t>
      </w:r>
    </w:p>
    <w:p w:rsidR="008D440D" w:rsidRP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На стационарных АБЗ, как правило, от 2 до 6, а на инвентарных и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передвижных от 1 до 2.</w:t>
      </w:r>
    </w:p>
    <w:p w:rsid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lastRenderedPageBreak/>
        <w:t xml:space="preserve">Асфальтобетонные смесители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подразделяются по производительности, компоновке, конструкции, способу перемешивания и подвижности.</w:t>
      </w:r>
    </w:p>
    <w:p w:rsidR="008D440D" w:rsidRP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Производительность смесителей установлена в соответствии с утвержденным типажом: 3, 6, 12, 25, 50, 100 и 200 т/ч.</w:t>
      </w:r>
    </w:p>
    <w:p w:rsidR="00BD0A06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Имеется </w:t>
      </w: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два типа компоновки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смесителей. </w:t>
      </w:r>
    </w:p>
    <w:p w:rsidR="00BD0A06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Первый,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 когда конструкция установки развивается в вертикальном направлении </w:t>
      </w: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(</w:t>
      </w:r>
      <w:r w:rsidRPr="00BD0A06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смесители башенного типа</w:t>
      </w: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)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; в нем однажды поднятые материалы проходят за счет собственной массы последовательно через сортировку, бункеры, дозаторы,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мешалку и накопительный бункер. </w:t>
      </w:r>
    </w:p>
    <w:p w:rsidR="008D440D" w:rsidRPr="008D440D" w:rsidRDefault="008D440D" w:rsidP="00BD0A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0A06">
        <w:rPr>
          <w:rFonts w:ascii="Times New Roman" w:eastAsia="TimesNewRomanPSMT" w:hAnsi="Times New Roman" w:cs="Times New Roman"/>
          <w:b/>
          <w:sz w:val="24"/>
          <w:szCs w:val="24"/>
        </w:rPr>
        <w:t>Второй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, когда конструкция агрегатов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смесителя развивается в горизонтальном направлении (</w:t>
      </w:r>
      <w:r w:rsidRPr="008D440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смесители партерного типа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); в нем материал проходит те же стадии обработки, поднимаясь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несколько раз, в сумме горизонтальные перемещения превышают общую</w:t>
      </w:r>
      <w:r w:rsidR="00BD0A0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высоту подъема.</w:t>
      </w:r>
    </w:p>
    <w:p w:rsidR="008D440D" w:rsidRPr="008D440D" w:rsidRDefault="008D440D" w:rsidP="0060645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При партерном расположении механизмов проще монтаж и демонтаж установки, перебазирование АБЗ, проще эксплуатация и доступнее</w:t>
      </w:r>
      <w:r w:rsidR="0060645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ремонт, меньше влияние вибрации на приборы и узлы конструкции, однако площадь, необходимая для установки АБЗ, значительно больше.</w:t>
      </w:r>
    </w:p>
    <w:p w:rsidR="0090190B" w:rsidRDefault="008D440D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Смесители бывают с мешалками </w:t>
      </w:r>
      <w:r w:rsidRPr="0090190B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периодического (циклического) и</w:t>
      </w:r>
      <w:r w:rsidR="0090190B" w:rsidRPr="0090190B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 </w:t>
      </w:r>
      <w:r w:rsidRPr="0090190B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непрерывного действия. </w:t>
      </w:r>
    </w:p>
    <w:p w:rsidR="0090190B" w:rsidRDefault="0090190B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90190B">
        <w:rPr>
          <w:rFonts w:ascii="Times New Roman" w:eastAsia="TimesNewRomanPSMT" w:hAnsi="Times New Roman" w:cs="Times New Roman"/>
          <w:sz w:val="24"/>
          <w:szCs w:val="24"/>
        </w:rPr>
        <w:t xml:space="preserve">На АБЗ </w:t>
      </w:r>
      <w:r w:rsidRPr="0090190B">
        <w:rPr>
          <w:rFonts w:ascii="Times New Roman" w:eastAsia="TimesNewRomanPSMT" w:hAnsi="Times New Roman" w:cs="Times New Roman"/>
          <w:b/>
          <w:sz w:val="24"/>
          <w:szCs w:val="24"/>
        </w:rPr>
        <w:t>цикличного действия</w:t>
      </w:r>
      <w:r w:rsidRPr="0090190B">
        <w:rPr>
          <w:rFonts w:ascii="Times New Roman" w:eastAsia="TimesNewRomanPSMT" w:hAnsi="Times New Roman" w:cs="Times New Roman"/>
          <w:sz w:val="24"/>
          <w:szCs w:val="24"/>
        </w:rPr>
        <w:t xml:space="preserve"> используют установки периодического действия и порционные дозаторы для дозирования компонентов смеси. </w:t>
      </w:r>
    </w:p>
    <w:p w:rsidR="0090190B" w:rsidRPr="0090190B" w:rsidRDefault="0090190B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90190B">
        <w:rPr>
          <w:rFonts w:ascii="Times New Roman" w:eastAsia="TimesNewRomanPSMT" w:hAnsi="Times New Roman" w:cs="Times New Roman"/>
          <w:sz w:val="24"/>
          <w:szCs w:val="24"/>
        </w:rPr>
        <w:t xml:space="preserve">На заводах </w:t>
      </w:r>
      <w:r w:rsidRPr="0090190B">
        <w:rPr>
          <w:rFonts w:ascii="Times New Roman" w:eastAsia="TimesNewRomanPSMT" w:hAnsi="Times New Roman" w:cs="Times New Roman"/>
          <w:b/>
          <w:sz w:val="24"/>
          <w:szCs w:val="24"/>
        </w:rPr>
        <w:t>непрерывного действия</w:t>
      </w:r>
      <w:r w:rsidRPr="0090190B">
        <w:rPr>
          <w:rFonts w:ascii="Times New Roman" w:eastAsia="TimesNewRomanPSMT" w:hAnsi="Times New Roman" w:cs="Times New Roman"/>
          <w:sz w:val="24"/>
          <w:szCs w:val="24"/>
        </w:rPr>
        <w:t xml:space="preserve"> операции дозирования, перемешивания и выдачи готовой смеси совмещены по времени.</w:t>
      </w:r>
    </w:p>
    <w:p w:rsidR="0090190B" w:rsidRDefault="008D440D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На АБЗ городских дорожно-строительных организаций большее распространение получили смесители с мешалками периодического действия. Причина этого состоит в том, что, несмотря на ряд</w:t>
      </w:r>
      <w:r w:rsidR="0090190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преимуществ мешалок непрерывного действия (меньший расход мощности, меньшая масса и габариты, большая стабильность состава смеси и</w:t>
      </w:r>
      <w:r w:rsidR="0090190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пр.), они имеют один существенный недостаток. </w:t>
      </w:r>
      <w:r w:rsidRPr="0090190B">
        <w:rPr>
          <w:rFonts w:ascii="Times New Roman" w:eastAsia="TimesNewRomanPSMT" w:hAnsi="Times New Roman" w:cs="Times New Roman"/>
          <w:i/>
          <w:sz w:val="24"/>
          <w:szCs w:val="24"/>
        </w:rPr>
        <w:t>В этих мешалках время</w:t>
      </w:r>
      <w:r w:rsidR="0090190B" w:rsidRPr="0090190B">
        <w:rPr>
          <w:rFonts w:ascii="Times New Roman" w:eastAsia="TimesNewRomanPSMT" w:hAnsi="Times New Roman" w:cs="Times New Roman"/>
          <w:i/>
          <w:sz w:val="24"/>
          <w:szCs w:val="24"/>
        </w:rPr>
        <w:t xml:space="preserve"> </w:t>
      </w:r>
      <w:r w:rsidRPr="0090190B">
        <w:rPr>
          <w:rFonts w:ascii="Times New Roman" w:eastAsia="TimesNewRomanPSMT" w:hAnsi="Times New Roman" w:cs="Times New Roman"/>
          <w:i/>
          <w:sz w:val="24"/>
          <w:szCs w:val="24"/>
        </w:rPr>
        <w:t>перемешивания материалов находится в узких пределах, оно равно времени продвижения материалов вдоль корпуса мешалки. Изменять время перемешивания очень трудно, а поэтому трудно менять и рецептуру смеси,</w:t>
      </w:r>
      <w:r w:rsidR="0090190B" w:rsidRPr="0090190B">
        <w:rPr>
          <w:rFonts w:ascii="Times New Roman" w:eastAsia="TimesNewRomanPSMT" w:hAnsi="Times New Roman" w:cs="Times New Roman"/>
          <w:i/>
          <w:sz w:val="24"/>
          <w:szCs w:val="24"/>
        </w:rPr>
        <w:t xml:space="preserve"> </w:t>
      </w:r>
      <w:r w:rsidRPr="0090190B">
        <w:rPr>
          <w:rFonts w:ascii="Times New Roman" w:eastAsia="TimesNewRomanPSMT" w:hAnsi="Times New Roman" w:cs="Times New Roman"/>
          <w:i/>
          <w:sz w:val="24"/>
          <w:szCs w:val="24"/>
        </w:rPr>
        <w:t>выпускаемой данной мешалкой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</w:p>
    <w:p w:rsidR="008D440D" w:rsidRPr="008D440D" w:rsidRDefault="008D440D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Мешалки непрерывного действия наиболее выгодно использовать при выпуске больших партий асфальтобетона</w:t>
      </w:r>
      <w:r w:rsidR="0090190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стабильного состава.</w:t>
      </w:r>
    </w:p>
    <w:p w:rsidR="008D440D" w:rsidRDefault="008D440D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D440D">
        <w:rPr>
          <w:rFonts w:ascii="Times New Roman" w:eastAsia="TimesNewRomanPSMT" w:hAnsi="Times New Roman" w:cs="Times New Roman"/>
          <w:sz w:val="24"/>
          <w:szCs w:val="24"/>
        </w:rPr>
        <w:t>На АБЗ лучше иметь несколько мешалок как периодического, так и</w:t>
      </w:r>
      <w:r w:rsidR="0090190B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D440D">
        <w:rPr>
          <w:rFonts w:ascii="Times New Roman" w:eastAsia="TimesNewRomanPSMT" w:hAnsi="Times New Roman" w:cs="Times New Roman"/>
          <w:sz w:val="24"/>
          <w:szCs w:val="24"/>
        </w:rPr>
        <w:t>непрерывного действия.</w:t>
      </w:r>
    </w:p>
    <w:p w:rsidR="00904DB5" w:rsidRDefault="00904DB5" w:rsidP="009019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 xml:space="preserve">Традиционная схема асфальтобетонного завода </w:t>
      </w:r>
      <w:r>
        <w:rPr>
          <w:rFonts w:ascii="ProximaNovaReg" w:hAnsi="ProximaNovaReg"/>
          <w:color w:val="000000"/>
          <w:sz w:val="21"/>
          <w:szCs w:val="21"/>
          <w:lang w:val="kk-KZ"/>
        </w:rPr>
        <w:t>непрерывного</w:t>
      </w:r>
      <w:r>
        <w:rPr>
          <w:rFonts w:ascii="ProximaNovaReg" w:hAnsi="ProximaNovaReg"/>
          <w:color w:val="000000"/>
          <w:sz w:val="21"/>
          <w:szCs w:val="21"/>
        </w:rPr>
        <w:t xml:space="preserve"> действия выглядит следующим образом:</w:t>
      </w:r>
    </w:p>
    <w:p w:rsidR="00904DB5" w:rsidRPr="00A02D56" w:rsidRDefault="00A02D56" w:rsidP="00A02D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(6 слайд)</w:t>
      </w:r>
    </w:p>
    <w:p w:rsidR="0090190B" w:rsidRDefault="00307A7C" w:rsidP="00307A7C">
      <w:pPr>
        <w:autoSpaceDE w:val="0"/>
        <w:autoSpaceDN w:val="0"/>
        <w:adjustRightInd w:val="0"/>
        <w:spacing w:after="0" w:line="240" w:lineRule="auto"/>
        <w:jc w:val="center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lastRenderedPageBreak/>
        <w:fldChar w:fldCharType="begin"/>
      </w:r>
      <w:r>
        <w:rPr>
          <w:rFonts w:ascii="ProximaNovaReg" w:hAnsi="ProximaNovaReg"/>
          <w:color w:val="000000"/>
          <w:sz w:val="21"/>
          <w:szCs w:val="21"/>
        </w:rPr>
        <w:instrText xml:space="preserve"> INCLUDEPICTURE "http://sdm-sam.ru/wp-content/uploads/2016/10/pic1.gif" \* MERGEFORMATINET </w:instrText>
      </w:r>
      <w:r>
        <w:rPr>
          <w:rFonts w:ascii="ProximaNovaReg" w:hAnsi="ProximaNovaReg"/>
          <w:color w:val="000000"/>
          <w:sz w:val="21"/>
          <w:szCs w:val="21"/>
        </w:rPr>
        <w:fldChar w:fldCharType="separate"/>
      </w:r>
      <w:r>
        <w:rPr>
          <w:rFonts w:ascii="ProximaNovaReg" w:hAnsi="ProximaNovaReg"/>
          <w:color w:val="000000"/>
          <w:sz w:val="21"/>
          <w:szCs w:val="21"/>
        </w:rPr>
        <w:fldChar w:fldCharType="begin"/>
      </w:r>
      <w:r>
        <w:rPr>
          <w:rFonts w:ascii="ProximaNovaReg" w:hAnsi="ProximaNovaReg"/>
          <w:color w:val="000000"/>
          <w:sz w:val="21"/>
          <w:szCs w:val="21"/>
        </w:rPr>
        <w:instrText xml:space="preserve"> INCLUDEPICTURE  "http://sdm-sam.ru/wp-content/uploads/2016/10/pic1.gif" \* MERGEFORMATINET </w:instrText>
      </w:r>
      <w:r>
        <w:rPr>
          <w:rFonts w:ascii="ProximaNovaReg" w:hAnsi="ProximaNovaReg"/>
          <w:color w:val="000000"/>
          <w:sz w:val="21"/>
          <w:szCs w:val="21"/>
        </w:rPr>
        <w:fldChar w:fldCharType="separate"/>
      </w:r>
      <w:r w:rsidR="00A02D56">
        <w:rPr>
          <w:rFonts w:ascii="ProximaNovaReg" w:hAnsi="ProximaNovaReg"/>
          <w:color w:val="000000"/>
          <w:sz w:val="21"/>
          <w:szCs w:val="21"/>
        </w:rPr>
        <w:fldChar w:fldCharType="begin"/>
      </w:r>
      <w:r w:rsidR="00A02D56">
        <w:rPr>
          <w:rFonts w:ascii="ProximaNovaReg" w:hAnsi="ProximaNovaReg"/>
          <w:color w:val="000000"/>
          <w:sz w:val="21"/>
          <w:szCs w:val="21"/>
        </w:rPr>
        <w:instrText xml:space="preserve"> </w:instrText>
      </w:r>
      <w:r w:rsidR="00A02D56">
        <w:rPr>
          <w:rFonts w:ascii="ProximaNovaReg" w:hAnsi="ProximaNovaReg"/>
          <w:color w:val="000000"/>
          <w:sz w:val="21"/>
          <w:szCs w:val="21"/>
        </w:rPr>
        <w:instrText xml:space="preserve">INCLUDEPICTURE  "http://sdm-sam.ru/wp-content/uploads/2016/10/pic1.gif" </w:instrText>
      </w:r>
      <w:r w:rsidR="00A02D56">
        <w:rPr>
          <w:rFonts w:ascii="ProximaNovaReg" w:hAnsi="ProximaNovaReg"/>
          <w:color w:val="000000"/>
          <w:sz w:val="21"/>
          <w:szCs w:val="21"/>
        </w:rPr>
        <w:instrText>\* MERGEFORMATINET</w:instrText>
      </w:r>
      <w:r w:rsidR="00A02D56">
        <w:rPr>
          <w:rFonts w:ascii="ProximaNovaReg" w:hAnsi="ProximaNovaReg"/>
          <w:color w:val="000000"/>
          <w:sz w:val="21"/>
          <w:szCs w:val="21"/>
        </w:rPr>
        <w:instrText xml:space="preserve"> </w:instrText>
      </w:r>
      <w:r w:rsidR="00A02D56">
        <w:rPr>
          <w:rFonts w:ascii="ProximaNovaReg" w:hAnsi="ProximaNovaReg"/>
          <w:color w:val="000000"/>
          <w:sz w:val="21"/>
          <w:szCs w:val="21"/>
        </w:rPr>
        <w:fldChar w:fldCharType="separate"/>
      </w:r>
      <w:r w:rsidR="00251E85">
        <w:rPr>
          <w:rFonts w:ascii="ProximaNovaReg" w:hAnsi="ProximaNovaReg"/>
          <w:color w:val="000000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pt;height:208.5pt">
            <v:imagedata r:id="rId5" r:href="rId6"/>
          </v:shape>
        </w:pict>
      </w:r>
      <w:r w:rsidR="00A02D56">
        <w:rPr>
          <w:rFonts w:ascii="ProximaNovaReg" w:hAnsi="ProximaNovaReg"/>
          <w:color w:val="000000"/>
          <w:sz w:val="21"/>
          <w:szCs w:val="21"/>
        </w:rPr>
        <w:fldChar w:fldCharType="end"/>
      </w:r>
      <w:r>
        <w:rPr>
          <w:rFonts w:ascii="ProximaNovaReg" w:hAnsi="ProximaNovaReg"/>
          <w:color w:val="000000"/>
          <w:sz w:val="21"/>
          <w:szCs w:val="21"/>
        </w:rPr>
        <w:fldChar w:fldCharType="end"/>
      </w:r>
      <w:r>
        <w:rPr>
          <w:rFonts w:ascii="ProximaNovaReg" w:hAnsi="ProximaNovaReg"/>
          <w:color w:val="000000"/>
          <w:sz w:val="21"/>
          <w:szCs w:val="21"/>
        </w:rPr>
        <w:fldChar w:fldCharType="end"/>
      </w:r>
    </w:p>
    <w:p w:rsidR="00307A7C" w:rsidRDefault="00D17E22" w:rsidP="00A02D56">
      <w:pPr>
        <w:shd w:val="clear" w:color="auto" w:fill="FFFFFF"/>
        <w:spacing w:after="0" w:line="240" w:lineRule="auto"/>
        <w:jc w:val="both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 xml:space="preserve">1 </w:t>
      </w:r>
      <w:r w:rsidRPr="00D17E22">
        <w:rPr>
          <w:rFonts w:ascii="ProximaNovaReg" w:hAnsi="ProximaNovaReg"/>
          <w:color w:val="000000"/>
          <w:sz w:val="21"/>
          <w:szCs w:val="21"/>
        </w:rPr>
        <w:t xml:space="preserve">- </w:t>
      </w:r>
      <w:r w:rsidR="00307A7C" w:rsidRPr="00D17E22">
        <w:rPr>
          <w:rFonts w:ascii="ProximaNovaReg" w:hAnsi="ProximaNovaReg"/>
          <w:color w:val="000000"/>
          <w:sz w:val="21"/>
          <w:szCs w:val="21"/>
        </w:rPr>
        <w:t>Бункерные дозаторы</w:t>
      </w:r>
      <w:r w:rsidRPr="00D17E22">
        <w:rPr>
          <w:rFonts w:ascii="ProximaNovaReg" w:hAnsi="ProximaNovaReg"/>
          <w:color w:val="000000"/>
          <w:sz w:val="21"/>
          <w:szCs w:val="21"/>
        </w:rPr>
        <w:t>, 2</w:t>
      </w:r>
      <w:r>
        <w:rPr>
          <w:rFonts w:ascii="ProximaNovaReg" w:hAnsi="ProximaNovaReg"/>
          <w:color w:val="000000"/>
          <w:sz w:val="21"/>
          <w:szCs w:val="21"/>
        </w:rPr>
        <w:t xml:space="preserve"> -</w:t>
      </w:r>
      <w:r w:rsidRPr="00D17E22">
        <w:rPr>
          <w:rFonts w:ascii="ProximaNovaReg" w:hAnsi="ProximaNovaReg"/>
          <w:color w:val="000000"/>
          <w:sz w:val="21"/>
          <w:szCs w:val="21"/>
        </w:rPr>
        <w:t xml:space="preserve"> </w:t>
      </w:r>
      <w:r w:rsidR="00307A7C" w:rsidRPr="00D17E22">
        <w:rPr>
          <w:rFonts w:ascii="ProximaNovaReg" w:hAnsi="ProximaNovaReg"/>
          <w:color w:val="000000"/>
          <w:sz w:val="21"/>
          <w:szCs w:val="21"/>
        </w:rPr>
        <w:t>Конвейерная лента</w:t>
      </w:r>
      <w:r>
        <w:rPr>
          <w:rFonts w:ascii="ProximaNovaReg" w:hAnsi="ProximaNovaReg"/>
          <w:color w:val="000000"/>
          <w:sz w:val="21"/>
          <w:szCs w:val="21"/>
        </w:rPr>
        <w:t xml:space="preserve">, 3 - </w:t>
      </w:r>
      <w:r w:rsidR="00307A7C">
        <w:rPr>
          <w:rFonts w:ascii="ProximaNovaReg" w:hAnsi="ProximaNovaReg"/>
          <w:color w:val="000000"/>
          <w:sz w:val="21"/>
          <w:szCs w:val="21"/>
        </w:rPr>
        <w:t>Конвейерная лента с проверкой уровня влажности</w:t>
      </w:r>
      <w:r>
        <w:rPr>
          <w:rFonts w:ascii="ProximaNovaReg" w:hAnsi="ProximaNovaReg"/>
          <w:color w:val="000000"/>
          <w:sz w:val="21"/>
          <w:szCs w:val="21"/>
        </w:rPr>
        <w:t xml:space="preserve">, 4 - </w:t>
      </w:r>
      <w:r w:rsidR="00307A7C">
        <w:rPr>
          <w:rFonts w:ascii="ProximaNovaReg" w:hAnsi="ProximaNovaReg"/>
          <w:color w:val="000000"/>
          <w:sz w:val="21"/>
          <w:szCs w:val="21"/>
        </w:rPr>
        <w:t>Смесительный барабан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5 - </w:t>
      </w:r>
      <w:r w:rsidR="00307A7C">
        <w:rPr>
          <w:rFonts w:ascii="ProximaNovaReg" w:hAnsi="ProximaNovaReg"/>
          <w:color w:val="000000"/>
          <w:sz w:val="21"/>
          <w:szCs w:val="21"/>
        </w:rPr>
        <w:t>Дозатор вторичного асфальта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6 - </w:t>
      </w:r>
      <w:r w:rsidR="00307A7C">
        <w:rPr>
          <w:rFonts w:ascii="ProximaNovaReg" w:hAnsi="ProximaNovaReg"/>
          <w:color w:val="000000"/>
          <w:sz w:val="21"/>
          <w:szCs w:val="21"/>
        </w:rPr>
        <w:t>Уча</w:t>
      </w:r>
      <w:r>
        <w:rPr>
          <w:rFonts w:ascii="ProximaNovaReg" w:hAnsi="ProximaNovaReg"/>
          <w:color w:val="000000"/>
          <w:sz w:val="21"/>
          <w:szCs w:val="21"/>
        </w:rPr>
        <w:t xml:space="preserve">сток интенсивного перемешивания, 7 – </w:t>
      </w:r>
      <w:r w:rsidR="00307A7C">
        <w:rPr>
          <w:rFonts w:ascii="ProximaNovaReg" w:hAnsi="ProximaNovaReg"/>
          <w:color w:val="000000"/>
          <w:sz w:val="21"/>
          <w:szCs w:val="21"/>
        </w:rPr>
        <w:t>Бункер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8 – </w:t>
      </w:r>
      <w:r w:rsidR="00307A7C">
        <w:rPr>
          <w:rFonts w:ascii="ProximaNovaReg" w:hAnsi="ProximaNovaReg"/>
          <w:color w:val="000000"/>
          <w:sz w:val="21"/>
          <w:szCs w:val="21"/>
        </w:rPr>
        <w:t>Вентиляционная установка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9 – </w:t>
      </w:r>
      <w:r w:rsidR="00307A7C">
        <w:rPr>
          <w:rFonts w:ascii="ProximaNovaReg" w:hAnsi="ProximaNovaReg"/>
          <w:color w:val="000000"/>
          <w:sz w:val="21"/>
          <w:szCs w:val="21"/>
        </w:rPr>
        <w:t>Бункер для сбора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10 – </w:t>
      </w:r>
      <w:r w:rsidR="00307A7C">
        <w:rPr>
          <w:rFonts w:ascii="ProximaNovaReg" w:hAnsi="ProximaNovaReg"/>
          <w:color w:val="000000"/>
          <w:sz w:val="21"/>
          <w:szCs w:val="21"/>
        </w:rPr>
        <w:t>О</w:t>
      </w:r>
      <w:r>
        <w:rPr>
          <w:rFonts w:ascii="ProximaNovaReg" w:hAnsi="ProximaNovaReg"/>
          <w:color w:val="000000"/>
          <w:sz w:val="21"/>
          <w:szCs w:val="21"/>
        </w:rPr>
        <w:t xml:space="preserve">ператорская панель, 11 – </w:t>
      </w:r>
      <w:r w:rsidR="00307A7C">
        <w:rPr>
          <w:rFonts w:ascii="ProximaNovaReg" w:hAnsi="ProximaNovaReg"/>
          <w:color w:val="000000"/>
          <w:sz w:val="21"/>
          <w:szCs w:val="21"/>
        </w:rPr>
        <w:t>Силос для хранения минеральных материалов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12 – </w:t>
      </w:r>
      <w:r w:rsidR="00307A7C">
        <w:rPr>
          <w:rFonts w:ascii="ProximaNovaReg" w:hAnsi="ProximaNovaReg"/>
          <w:color w:val="000000"/>
          <w:sz w:val="21"/>
          <w:szCs w:val="21"/>
        </w:rPr>
        <w:t>Бункер для вторичных материалов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13 – </w:t>
      </w:r>
      <w:r w:rsidR="00307A7C">
        <w:rPr>
          <w:rFonts w:ascii="ProximaNovaReg" w:hAnsi="ProximaNovaReg"/>
          <w:color w:val="000000"/>
          <w:sz w:val="21"/>
          <w:szCs w:val="21"/>
        </w:rPr>
        <w:t>Конвейерная лента с проверкой уровня влажности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14 – </w:t>
      </w:r>
      <w:r w:rsidR="00307A7C">
        <w:rPr>
          <w:rFonts w:ascii="ProximaNovaReg" w:hAnsi="ProximaNovaReg"/>
          <w:color w:val="000000"/>
          <w:sz w:val="21"/>
          <w:szCs w:val="21"/>
        </w:rPr>
        <w:t>Фильтровальный силос</w:t>
      </w:r>
      <w:r>
        <w:rPr>
          <w:rFonts w:ascii="ProximaNovaReg" w:hAnsi="ProximaNovaReg"/>
          <w:color w:val="000000"/>
          <w:sz w:val="21"/>
          <w:szCs w:val="21"/>
          <w:lang w:val="kk-KZ"/>
        </w:rPr>
        <w:t xml:space="preserve">, 15 – </w:t>
      </w:r>
      <w:r w:rsidR="00307A7C">
        <w:rPr>
          <w:rFonts w:ascii="ProximaNovaReg" w:hAnsi="ProximaNovaReg"/>
          <w:color w:val="000000"/>
          <w:sz w:val="21"/>
          <w:szCs w:val="21"/>
        </w:rPr>
        <w:t>Е</w:t>
      </w:r>
      <w:r>
        <w:rPr>
          <w:rFonts w:ascii="ProximaNovaReg" w:hAnsi="ProximaNovaReg"/>
          <w:color w:val="000000"/>
          <w:sz w:val="21"/>
          <w:szCs w:val="21"/>
        </w:rPr>
        <w:t xml:space="preserve">мкость для битума, 16 – </w:t>
      </w:r>
      <w:r w:rsidR="00307A7C">
        <w:rPr>
          <w:rFonts w:ascii="ProximaNovaReg" w:hAnsi="ProximaNovaReg"/>
          <w:color w:val="000000"/>
          <w:sz w:val="21"/>
          <w:szCs w:val="21"/>
        </w:rPr>
        <w:t>Подогреватель ГСМ</w:t>
      </w:r>
      <w:r w:rsidR="00904DB5">
        <w:rPr>
          <w:rFonts w:ascii="ProximaNovaReg" w:hAnsi="ProximaNovaReg"/>
          <w:color w:val="000000"/>
          <w:sz w:val="21"/>
          <w:szCs w:val="21"/>
          <w:lang w:val="kk-KZ"/>
        </w:rPr>
        <w:t xml:space="preserve">, 17 – </w:t>
      </w:r>
      <w:r w:rsidR="00307A7C">
        <w:rPr>
          <w:rFonts w:ascii="ProximaNovaReg" w:hAnsi="ProximaNovaReg"/>
          <w:color w:val="000000"/>
          <w:sz w:val="21"/>
          <w:szCs w:val="21"/>
        </w:rPr>
        <w:t>Конвейерная лента.</w:t>
      </w:r>
    </w:p>
    <w:p w:rsidR="00A02D56" w:rsidRPr="00A02D56" w:rsidRDefault="00A02D56" w:rsidP="00A02D56">
      <w:pPr>
        <w:pStyle w:val="a4"/>
        <w:shd w:val="clear" w:color="auto" w:fill="FFFFFF"/>
        <w:spacing w:before="0" w:beforeAutospacing="0" w:after="0" w:afterAutospacing="0"/>
        <w:jc w:val="both"/>
        <w:rPr>
          <w:rFonts w:ascii="ProximaNovaReg" w:hAnsi="ProximaNovaReg"/>
          <w:b/>
          <w:color w:val="000000"/>
        </w:rPr>
      </w:pPr>
      <w:r w:rsidRPr="00A02D56">
        <w:rPr>
          <w:rFonts w:ascii="ProximaNovaReg" w:hAnsi="ProximaNovaReg"/>
          <w:b/>
          <w:color w:val="000000"/>
        </w:rPr>
        <w:t>(7 слайд)</w:t>
      </w:r>
    </w:p>
    <w:p w:rsidR="00307A7C" w:rsidRPr="00A02D56" w:rsidRDefault="00307A7C" w:rsidP="00A02D56">
      <w:pPr>
        <w:pStyle w:val="a4"/>
        <w:shd w:val="clear" w:color="auto" w:fill="FFFFFF"/>
        <w:spacing w:before="0" w:beforeAutospacing="0" w:after="0" w:afterAutospacing="0"/>
        <w:jc w:val="both"/>
        <w:rPr>
          <w:rFonts w:ascii="ProximaNovaReg" w:hAnsi="ProximaNovaReg"/>
          <w:color w:val="000000"/>
        </w:rPr>
      </w:pPr>
      <w:r w:rsidRPr="00A02D56">
        <w:rPr>
          <w:rFonts w:ascii="ProximaNovaReg" w:hAnsi="ProximaNovaReg"/>
          <w:color w:val="000000"/>
        </w:rPr>
        <w:t xml:space="preserve">Традиционная схема асфальтобетонного завода </w:t>
      </w:r>
      <w:r w:rsidR="00904DB5" w:rsidRPr="00A02D56">
        <w:rPr>
          <w:rFonts w:ascii="ProximaNovaReg" w:hAnsi="ProximaNovaReg"/>
          <w:color w:val="000000"/>
          <w:lang w:val="kk-KZ"/>
        </w:rPr>
        <w:t>циклического</w:t>
      </w:r>
      <w:r w:rsidRPr="00A02D56">
        <w:rPr>
          <w:rFonts w:ascii="ProximaNovaReg" w:hAnsi="ProximaNovaReg"/>
          <w:color w:val="000000"/>
        </w:rPr>
        <w:t xml:space="preserve"> действия выглядит следующим образом:</w:t>
      </w:r>
    </w:p>
    <w:p w:rsidR="00307A7C" w:rsidRDefault="00307A7C" w:rsidP="00307A7C">
      <w:pPr>
        <w:pStyle w:val="a4"/>
        <w:shd w:val="clear" w:color="auto" w:fill="FFFFFF"/>
        <w:jc w:val="center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fldChar w:fldCharType="begin"/>
      </w:r>
      <w:r>
        <w:rPr>
          <w:rFonts w:ascii="ProximaNovaReg" w:hAnsi="ProximaNovaReg"/>
          <w:color w:val="000000"/>
          <w:sz w:val="21"/>
          <w:szCs w:val="21"/>
        </w:rPr>
        <w:instrText xml:space="preserve"> INCLUDEPICTURE "http://sdm-sam.ru/wp-content/uploads/2016/10/pic2.gif" \* MERGEFORMATINET </w:instrText>
      </w:r>
      <w:r>
        <w:rPr>
          <w:rFonts w:ascii="ProximaNovaReg" w:hAnsi="ProximaNovaReg"/>
          <w:color w:val="000000"/>
          <w:sz w:val="21"/>
          <w:szCs w:val="21"/>
        </w:rPr>
        <w:fldChar w:fldCharType="separate"/>
      </w:r>
      <w:r>
        <w:rPr>
          <w:rFonts w:ascii="ProximaNovaReg" w:hAnsi="ProximaNovaReg"/>
          <w:color w:val="000000"/>
          <w:sz w:val="21"/>
          <w:szCs w:val="21"/>
        </w:rPr>
        <w:fldChar w:fldCharType="begin"/>
      </w:r>
      <w:r>
        <w:rPr>
          <w:rFonts w:ascii="ProximaNovaReg" w:hAnsi="ProximaNovaReg"/>
          <w:color w:val="000000"/>
          <w:sz w:val="21"/>
          <w:szCs w:val="21"/>
        </w:rPr>
        <w:instrText xml:space="preserve"> INCLUDEPICTURE  "http://sdm-sam.ru/wp-content/uploads/2016/10/pic2.gif" \* MERGEFORMATINET </w:instrText>
      </w:r>
      <w:r>
        <w:rPr>
          <w:rFonts w:ascii="ProximaNovaReg" w:hAnsi="ProximaNovaReg"/>
          <w:color w:val="000000"/>
          <w:sz w:val="21"/>
          <w:szCs w:val="21"/>
        </w:rPr>
        <w:fldChar w:fldCharType="separate"/>
      </w:r>
      <w:r w:rsidR="00A02D56">
        <w:rPr>
          <w:rFonts w:ascii="ProximaNovaReg" w:hAnsi="ProximaNovaReg"/>
          <w:color w:val="000000"/>
          <w:sz w:val="21"/>
          <w:szCs w:val="21"/>
        </w:rPr>
        <w:fldChar w:fldCharType="begin"/>
      </w:r>
      <w:r w:rsidR="00A02D56">
        <w:rPr>
          <w:rFonts w:ascii="ProximaNovaReg" w:hAnsi="ProximaNovaReg"/>
          <w:color w:val="000000"/>
          <w:sz w:val="21"/>
          <w:szCs w:val="21"/>
        </w:rPr>
        <w:instrText xml:space="preserve"> </w:instrText>
      </w:r>
      <w:r w:rsidR="00A02D56">
        <w:rPr>
          <w:rFonts w:ascii="ProximaNovaReg" w:hAnsi="ProximaNovaReg"/>
          <w:color w:val="000000"/>
          <w:sz w:val="21"/>
          <w:szCs w:val="21"/>
        </w:rPr>
        <w:instrText>INCLUDEPICTURE  "http://sdm-sam.ru/wp-content/uploads/2016/10/pic2.gif" \* MERGEFORMATINET</w:instrText>
      </w:r>
      <w:r w:rsidR="00A02D56">
        <w:rPr>
          <w:rFonts w:ascii="ProximaNovaReg" w:hAnsi="ProximaNovaReg"/>
          <w:color w:val="000000"/>
          <w:sz w:val="21"/>
          <w:szCs w:val="21"/>
        </w:rPr>
        <w:instrText xml:space="preserve"> </w:instrText>
      </w:r>
      <w:r w:rsidR="00A02D56">
        <w:rPr>
          <w:rFonts w:ascii="ProximaNovaReg" w:hAnsi="ProximaNovaReg"/>
          <w:color w:val="000000"/>
          <w:sz w:val="21"/>
          <w:szCs w:val="21"/>
        </w:rPr>
        <w:fldChar w:fldCharType="separate"/>
      </w:r>
      <w:r w:rsidR="00A02D56">
        <w:rPr>
          <w:rFonts w:ascii="ProximaNovaReg" w:hAnsi="ProximaNovaReg"/>
          <w:color w:val="000000"/>
          <w:sz w:val="21"/>
          <w:szCs w:val="21"/>
        </w:rPr>
        <w:pict>
          <v:shape id="_x0000_i1026" type="#_x0000_t75" style="width:262.5pt;height:140.25pt">
            <v:imagedata r:id="rId7" r:href="rId8"/>
          </v:shape>
        </w:pict>
      </w:r>
      <w:r w:rsidR="00A02D56">
        <w:rPr>
          <w:rFonts w:ascii="ProximaNovaReg" w:hAnsi="ProximaNovaReg"/>
          <w:color w:val="000000"/>
          <w:sz w:val="21"/>
          <w:szCs w:val="21"/>
        </w:rPr>
        <w:fldChar w:fldCharType="end"/>
      </w:r>
      <w:r>
        <w:rPr>
          <w:rFonts w:ascii="ProximaNovaReg" w:hAnsi="ProximaNovaReg"/>
          <w:color w:val="000000"/>
          <w:sz w:val="21"/>
          <w:szCs w:val="21"/>
        </w:rPr>
        <w:fldChar w:fldCharType="end"/>
      </w:r>
      <w:r>
        <w:rPr>
          <w:rFonts w:ascii="ProximaNovaReg" w:hAnsi="ProximaNovaReg"/>
          <w:color w:val="000000"/>
          <w:sz w:val="21"/>
          <w:szCs w:val="21"/>
        </w:rPr>
        <w:fldChar w:fldCharType="end"/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bookmarkStart w:id="0" w:name="_GoBack"/>
      <w:r>
        <w:rPr>
          <w:rFonts w:ascii="ProximaNovaReg" w:hAnsi="ProximaNovaReg"/>
          <w:color w:val="000000"/>
          <w:sz w:val="21"/>
          <w:szCs w:val="21"/>
        </w:rPr>
        <w:t>Бункерные дозаторы.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Конвейерная лента.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Конвейерная лента.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Сушильная центрифуга.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Элеваторная башня.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Смесительная емкость.</w:t>
      </w:r>
    </w:p>
    <w:p w:rsidR="00307A7C" w:rsidRPr="00E5101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sz w:val="21"/>
          <w:szCs w:val="21"/>
        </w:rPr>
      </w:pPr>
      <w:r w:rsidRPr="00E5101C">
        <w:rPr>
          <w:rFonts w:ascii="ProximaNovaReg" w:hAnsi="ProximaNovaReg"/>
          <w:sz w:val="21"/>
          <w:szCs w:val="21"/>
        </w:rPr>
        <w:t>Бункер для сбора.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Элеватор для минеральных материалов.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Силос для минеральных материалов.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Фильтровальный силос.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Вентиляционная установка.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Место для хранения битума.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Подогреватель для масла.</w:t>
      </w:r>
    </w:p>
    <w:p w:rsidR="00307A7C" w:rsidRDefault="00307A7C" w:rsidP="00307A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ProximaNovaReg" w:hAnsi="ProximaNovaReg"/>
          <w:color w:val="000000"/>
          <w:sz w:val="21"/>
          <w:szCs w:val="21"/>
        </w:rPr>
      </w:pPr>
      <w:r>
        <w:rPr>
          <w:rFonts w:ascii="ProximaNovaReg" w:hAnsi="ProximaNovaReg"/>
          <w:color w:val="000000"/>
          <w:sz w:val="21"/>
          <w:szCs w:val="21"/>
        </w:rPr>
        <w:t>Операторский пульт.</w:t>
      </w:r>
    </w:p>
    <w:bookmarkEnd w:id="0"/>
    <w:p w:rsidR="00D17E22" w:rsidRDefault="00D17E22" w:rsidP="00D17E22">
      <w:pPr>
        <w:pStyle w:val="a4"/>
        <w:spacing w:before="0" w:beforeAutospacing="0" w:after="0" w:afterAutospacing="0"/>
        <w:ind w:firstLine="709"/>
        <w:jc w:val="both"/>
      </w:pPr>
      <w:r>
        <w:t>Важная задача при проектировании АБЗ – определить для него место на строящейся дороге. От правильного решения этой задачи зависит не только стоимость смеси, но и успех работы завода, сроки строительства дороги.</w:t>
      </w:r>
    </w:p>
    <w:p w:rsidR="00D17E22" w:rsidRDefault="00D17E22" w:rsidP="00D17E22">
      <w:pPr>
        <w:pStyle w:val="a4"/>
        <w:spacing w:before="0" w:beforeAutospacing="0" w:after="0" w:afterAutospacing="0"/>
        <w:ind w:firstLine="709"/>
        <w:jc w:val="both"/>
      </w:pPr>
      <w:r>
        <w:lastRenderedPageBreak/>
        <w:t>Месторасположение завода зависит от потребности смеси, сроков строительства, рельефа местности, расположения баз и источников снабжения материалами для приготовления смеси, железнодорожных станций, возможности получения электроэнергии и воды, производственных или жилых объектов и т. д.</w:t>
      </w:r>
    </w:p>
    <w:p w:rsidR="00307A7C" w:rsidRDefault="00307A7C" w:rsidP="00D17E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7E22">
        <w:rPr>
          <w:rFonts w:ascii="Times New Roman" w:eastAsia="TimesNewRomanPSMT" w:hAnsi="Times New Roman" w:cs="Times New Roman"/>
          <w:sz w:val="24"/>
          <w:szCs w:val="24"/>
        </w:rPr>
        <w:t>Решающим для размещения АБЗ является учет технологических особенностей асфальтобетонных горячих смесей — остывание в пути и соответственно время доставки от завода до объекта строительства</w:t>
      </w:r>
      <w:r>
        <w:rPr>
          <w:rFonts w:ascii="Helvetica" w:hAnsi="Helvetica"/>
          <w:color w:val="666666"/>
          <w:sz w:val="21"/>
          <w:szCs w:val="21"/>
          <w:shd w:val="clear" w:color="auto" w:fill="FFFFFF"/>
        </w:rPr>
        <w:t>.</w:t>
      </w:r>
      <w:r w:rsidR="00D17E22">
        <w:rPr>
          <w:color w:val="666666"/>
          <w:sz w:val="21"/>
          <w:szCs w:val="21"/>
          <w:shd w:val="clear" w:color="auto" w:fill="FFFFFF"/>
        </w:rPr>
        <w:t xml:space="preserve"> </w:t>
      </w:r>
      <w:r w:rsidRPr="00307A7C">
        <w:rPr>
          <w:rFonts w:ascii="Times New Roman" w:eastAsia="TimesNewRomanPSMT" w:hAnsi="Times New Roman" w:cs="Times New Roman"/>
          <w:sz w:val="24"/>
          <w:szCs w:val="24"/>
        </w:rPr>
        <w:t>При температуре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07A7C">
        <w:rPr>
          <w:rFonts w:ascii="Times New Roman" w:eastAsia="TimesNewRomanPSMT" w:hAnsi="Times New Roman" w:cs="Times New Roman"/>
          <w:sz w:val="24"/>
          <w:szCs w:val="24"/>
        </w:rPr>
        <w:t>воздуха +10 ºС время транспортирования горячих смесей не должно быть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307A7C">
        <w:rPr>
          <w:rFonts w:ascii="Times New Roman" w:eastAsia="TimesNewRomanPSMT" w:hAnsi="Times New Roman" w:cs="Times New Roman"/>
          <w:sz w:val="24"/>
          <w:szCs w:val="24"/>
        </w:rPr>
        <w:t>более 1,5 ч.</w:t>
      </w:r>
    </w:p>
    <w:p w:rsidR="00D17E22" w:rsidRPr="00D17E22" w:rsidRDefault="00D17E22" w:rsidP="00D17E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17E22">
        <w:rPr>
          <w:rFonts w:ascii="Times New Roman" w:eastAsia="TimesNewRomanPSMT" w:hAnsi="Times New Roman" w:cs="Times New Roman"/>
          <w:sz w:val="24"/>
          <w:szCs w:val="24"/>
        </w:rPr>
        <w:t>Критерием оптимального размещения АБЗ при строительстве автомобильных дорог является наличие подъездных дорог и минимум затрат 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7E22">
        <w:rPr>
          <w:rFonts w:ascii="Times New Roman" w:eastAsia="TimesNewRomanPSMT" w:hAnsi="Times New Roman" w:cs="Times New Roman"/>
          <w:sz w:val="24"/>
          <w:szCs w:val="24"/>
        </w:rPr>
        <w:t>доставку исходных материалов на завод и готовой асфальтобетонной смеси на дорогу, с учетом расходов на строительство и перебазирование АБЗ.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7E22">
        <w:rPr>
          <w:rFonts w:ascii="Times New Roman" w:eastAsia="TimesNewRomanPSMT" w:hAnsi="Times New Roman" w:cs="Times New Roman"/>
          <w:sz w:val="24"/>
          <w:szCs w:val="24"/>
        </w:rPr>
        <w:t>Кроме этого необходимо учитывать наличие железнодорожных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7E22">
        <w:rPr>
          <w:rFonts w:ascii="Times New Roman" w:eastAsia="TimesNewRomanPSMT" w:hAnsi="Times New Roman" w:cs="Times New Roman"/>
          <w:sz w:val="24"/>
          <w:szCs w:val="24"/>
        </w:rPr>
        <w:t>станций, наличие в районе строительства карьеров щебня и песка, источников получения вяжущих и минерального порошка, возможность подключения к источникам электроэнергии от высоковольтных линий, газа, 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17E22">
        <w:rPr>
          <w:rFonts w:ascii="Times New Roman" w:eastAsia="TimesNewRomanPSMT" w:hAnsi="Times New Roman" w:cs="Times New Roman"/>
          <w:sz w:val="24"/>
          <w:szCs w:val="24"/>
        </w:rPr>
        <w:t>также в близости городов и поселков.</w:t>
      </w:r>
    </w:p>
    <w:sectPr w:rsidR="00D17E22" w:rsidRPr="00D17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ximaNovaReg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850E5"/>
    <w:multiLevelType w:val="hybridMultilevel"/>
    <w:tmpl w:val="5B0C752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6D4DF6"/>
    <w:multiLevelType w:val="multilevel"/>
    <w:tmpl w:val="D048E0B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ProximaNovaReg" w:eastAsiaTheme="minorHAnsi" w:hAnsi="ProximaNovaReg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781C0D"/>
    <w:multiLevelType w:val="multilevel"/>
    <w:tmpl w:val="927C0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39044F"/>
    <w:multiLevelType w:val="hybridMultilevel"/>
    <w:tmpl w:val="EC3EA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727BA"/>
    <w:multiLevelType w:val="hybridMultilevel"/>
    <w:tmpl w:val="C5B895FA"/>
    <w:lvl w:ilvl="0" w:tplc="020E19D8"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B267CC"/>
    <w:multiLevelType w:val="hybridMultilevel"/>
    <w:tmpl w:val="8F3C641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D05C5D"/>
    <w:multiLevelType w:val="hybridMultilevel"/>
    <w:tmpl w:val="6694CB96"/>
    <w:lvl w:ilvl="0" w:tplc="9BA6AB7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5156E7E"/>
    <w:multiLevelType w:val="hybridMultilevel"/>
    <w:tmpl w:val="4FDAD5F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371378"/>
    <w:multiLevelType w:val="hybridMultilevel"/>
    <w:tmpl w:val="4718E5C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7"/>
  </w:num>
  <w:num w:numId="5">
    <w:abstractNumId w:val="0"/>
  </w:num>
  <w:num w:numId="6">
    <w:abstractNumId w:val="8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A11"/>
    <w:rsid w:val="00251E85"/>
    <w:rsid w:val="00307A7C"/>
    <w:rsid w:val="004B4452"/>
    <w:rsid w:val="00606450"/>
    <w:rsid w:val="00685A11"/>
    <w:rsid w:val="006A17DB"/>
    <w:rsid w:val="008D440D"/>
    <w:rsid w:val="0090190B"/>
    <w:rsid w:val="00904DB5"/>
    <w:rsid w:val="00A02D56"/>
    <w:rsid w:val="00BD0A06"/>
    <w:rsid w:val="00D1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724CA"/>
  <w15:chartTrackingRefBased/>
  <w15:docId w15:val="{F1D59D0D-5AF2-466C-8B4D-7D99A46CF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7DB"/>
    <w:pPr>
      <w:ind w:left="720"/>
      <w:contextualSpacing/>
    </w:pPr>
  </w:style>
  <w:style w:type="paragraph" w:styleId="a4">
    <w:name w:val="Normal (Web)"/>
    <w:basedOn w:val="a"/>
    <w:rsid w:val="00307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sdm-sam.ru/wp-content/uploads/2016/10/pic2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sdm-sam.ru/wp-content/uploads/2016/10/pic1.gif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1490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2018-10-22T13:24:00Z</dcterms:created>
  <dcterms:modified xsi:type="dcterms:W3CDTF">2020-09-05T16:50:00Z</dcterms:modified>
</cp:coreProperties>
</file>